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D22" w:rsidRDefault="00EC4D22" w:rsidP="00EC4D22">
      <w:pPr>
        <w:jc w:val="center"/>
      </w:pPr>
    </w:p>
    <w:p w:rsidR="00EC4D22" w:rsidRDefault="00EC4D22" w:rsidP="00EC4D22">
      <w:pPr>
        <w:jc w:val="center"/>
      </w:pPr>
    </w:p>
    <w:p w:rsidR="00EC4D22" w:rsidRDefault="00EC4D22" w:rsidP="00EC4D22">
      <w:pPr>
        <w:jc w:val="center"/>
      </w:pPr>
    </w:p>
    <w:p w:rsidR="00EC4D22" w:rsidRDefault="00EC4D22" w:rsidP="00EC4D22">
      <w:pPr>
        <w:jc w:val="center"/>
      </w:pPr>
    </w:p>
    <w:p w:rsidR="00EC4D22" w:rsidRDefault="00EC4D22" w:rsidP="00EC4D22">
      <w:pPr>
        <w:jc w:val="center"/>
      </w:pPr>
    </w:p>
    <w:p w:rsidR="00EA13D9" w:rsidRDefault="00EC4D22" w:rsidP="00EC4D22">
      <w:pPr>
        <w:jc w:val="center"/>
      </w:pPr>
      <w:bookmarkStart w:id="0" w:name="_GoBack"/>
      <w:r>
        <w:t>Barriers in Higher Education</w:t>
      </w:r>
    </w:p>
    <w:bookmarkEnd w:id="0"/>
    <w:p w:rsidR="00EC4D22" w:rsidRDefault="00EC4D22" w:rsidP="00EC4D22">
      <w:pPr>
        <w:jc w:val="center"/>
      </w:pPr>
      <w:r>
        <w:t>Students Name</w:t>
      </w:r>
    </w:p>
    <w:p w:rsidR="00EC4D22" w:rsidRDefault="00EC4D22" w:rsidP="00EC4D22">
      <w:pPr>
        <w:jc w:val="center"/>
      </w:pPr>
      <w:r>
        <w:t>Institution</w:t>
      </w:r>
    </w:p>
    <w:p w:rsidR="00EC4D22" w:rsidRDefault="00EC4D22">
      <w:pPr>
        <w:spacing w:line="276" w:lineRule="auto"/>
      </w:pPr>
      <w:r>
        <w:br w:type="page"/>
      </w:r>
    </w:p>
    <w:p w:rsidR="00EC4D22" w:rsidRDefault="00EC4D22" w:rsidP="00EC4D22">
      <w:pPr>
        <w:jc w:val="center"/>
      </w:pPr>
      <w:r>
        <w:lastRenderedPageBreak/>
        <w:t>Barriers in Higher Education</w:t>
      </w:r>
    </w:p>
    <w:p w:rsidR="00EC4D22" w:rsidRDefault="00EC4D22" w:rsidP="00EC4D22">
      <w:pPr>
        <w:ind w:firstLine="720"/>
      </w:pPr>
      <w:r>
        <w:t>The paper delves into the institution of education K-12 higher Ed and elaborately highlights the barriers within it. It is no doubt that a postsecondary education bestows multiple benefits to an individual along with society. This is apparent in higher earnings, reduced unemployment rates, greater civic engagement, as well as an increased tax base. However, access to higher education is still a challenge to several families – the impoverished, disenfranchised, and people living with disabilities. According to a research done by the National Bureau of Economic Research in 2010, 82% of students hailing from high-income families attended college and a meager 52% of students from low-income families were found to have attained enrollment in colleges</w:t>
      </w:r>
      <w:r w:rsidRPr="008F0E96">
        <w:rPr>
          <w:rFonts w:eastAsia="Times New Roman" w:cs="Times New Roman"/>
          <w:szCs w:val="24"/>
        </w:rPr>
        <w:t xml:space="preserve"> </w:t>
      </w:r>
      <w:r>
        <w:rPr>
          <w:rFonts w:eastAsia="Times New Roman" w:cs="Times New Roman"/>
          <w:szCs w:val="24"/>
        </w:rPr>
        <w:t>(Long, 2014)</w:t>
      </w:r>
      <w:r>
        <w:t xml:space="preserve">. Tellingly, there is a complete mismatch in the spread of students accessing higher education.  </w:t>
      </w:r>
    </w:p>
    <w:p w:rsidR="00EC4D22" w:rsidRDefault="00EC4D22" w:rsidP="00EC4D22">
      <w:r>
        <w:t xml:space="preserve">           There are diverse barriers for many people to access institutions of higher learning. Foremost, the issue of affordability is of critical concern. The prices of colleges have proved it difficult for students from low-income families to be capable of paying for their studies</w:t>
      </w:r>
      <w:r w:rsidRPr="00AB6F24">
        <w:rPr>
          <w:rFonts w:eastAsia="Times New Roman" w:cs="Times New Roman"/>
          <w:szCs w:val="24"/>
        </w:rPr>
        <w:t xml:space="preserve"> </w:t>
      </w:r>
      <w:r>
        <w:rPr>
          <w:rFonts w:eastAsia="Times New Roman" w:cs="Times New Roman"/>
          <w:szCs w:val="24"/>
        </w:rPr>
        <w:t>(Akins et al., 2019)</w:t>
      </w:r>
      <w:r>
        <w:t>. Also, several students have high debts that have negatively affected their abilities to complete their studies in colleges. Secondly, another equally formidable barrier to postsecondary education is academic preparation. There are academic placement tests such as remedial courses that students are required to do and pass to demonstrate their satisfactory readiness for higher education. Estimates provided by the National Center for Education Statistics suggest that more than one-third of all first-year students take remedial courses in English or mathematics. The amount of time spent by students taking remedial or developmental programs is much, thereby limiting the chances of joining institutions of higher learning. Remediation holds back students from realizing their post-secondary level of education.</w:t>
      </w:r>
    </w:p>
    <w:p w:rsidR="00EC4D22" w:rsidRDefault="00EC4D22" w:rsidP="00EC4D22">
      <w:pPr>
        <w:ind w:firstLine="720"/>
      </w:pPr>
      <w:r>
        <w:lastRenderedPageBreak/>
        <w:t>Contemporarily, accessibility in the institutions of higher learning has changed. States have ventured in recommending measures and policies with the primary focus of revamping remediation. Some have limited the courses to enhance the ability of students to learn courses that are in sync with the current world matters. On the other hand, some states have allocated incentives that help fund education for students from low-income backgrounds at the postsecondary level. This will have a considerable influence in ensuring that students venture in institutions of higher learning and get requisite knowledge.</w:t>
      </w:r>
    </w:p>
    <w:p w:rsidR="00EC4D22" w:rsidRDefault="00EC4D22" w:rsidP="00EC4D22">
      <w:pPr>
        <w:ind w:firstLine="720"/>
      </w:pPr>
      <w:r>
        <w:t>If I were a policy-maker, I would come up with key recommendations that seek to address the problem of academic preparation and ensure that students from low-income families join institutions of higher learning. I would table a motion in the parliament to improve the rate of college success among students living with disabilities. Firstly, I will ensure that institutions of higher learning are better equipped with essential materials for disabled students. Some of the materials include the erection of ramps and reading materials. For instance, necessary reading aids will be provided, and lecturers adept in teaching physically impaired students will be recruited too.</w:t>
      </w:r>
    </w:p>
    <w:p w:rsidR="00EC4D22" w:rsidRPr="0042190B" w:rsidRDefault="00EC4D22" w:rsidP="00EC4D22">
      <w:pPr>
        <w:ind w:firstLine="720"/>
      </w:pPr>
      <w:r>
        <w:t>Conversely, the barriers to this goal can be low capital and lack of enforcement. When the government is grappling with other sectors of the economy like agriculture and tourism, it might allocate insufficient funds to the sector of higher learning. Therefore, this might pose a disadvantage to the realization of the dream of implementing the aforementioned strategies. Purchasing necessary reading aids and recruitment of teachers skilled in teaching people with disabilities may be hampered. Responsible departments may take time to enforce the strategy that will enhance learning in higher education.</w:t>
      </w:r>
    </w:p>
    <w:p w:rsidR="00EC4D22" w:rsidRDefault="006D18EA" w:rsidP="00EC4D22">
      <w:pPr>
        <w:jc w:val="center"/>
      </w:pPr>
      <w:r>
        <w:lastRenderedPageBreak/>
        <w:t>References</w:t>
      </w:r>
    </w:p>
    <w:p w:rsidR="006D18EA" w:rsidRDefault="006D18EA" w:rsidP="006D18EA">
      <w:pPr>
        <w:spacing w:after="0"/>
        <w:ind w:left="720" w:hanging="720"/>
        <w:rPr>
          <w:rFonts w:eastAsia="Times New Roman" w:cs="Times New Roman"/>
          <w:szCs w:val="24"/>
        </w:rPr>
      </w:pPr>
      <w:r>
        <w:rPr>
          <w:rFonts w:eastAsia="Times New Roman" w:cs="Times New Roman"/>
          <w:szCs w:val="24"/>
        </w:rPr>
        <w:t xml:space="preserve">E Akins, E., Giddens, E., Glassmeyer, D., Gruss, A., Kalamas Hedden, M., Slinger-Friedman, V., &amp; Weand, M. (2019). Sustainability education and organizational change: A critical case study of barriers and change drivers at a higher education institution. </w:t>
      </w:r>
      <w:r>
        <w:rPr>
          <w:rFonts w:eastAsia="Times New Roman" w:cs="Times New Roman"/>
          <w:i/>
          <w:iCs/>
          <w:szCs w:val="24"/>
        </w:rPr>
        <w:t>Sustainability</w:t>
      </w:r>
      <w:r>
        <w:rPr>
          <w:rFonts w:eastAsia="Times New Roman" w:cs="Times New Roman"/>
          <w:szCs w:val="24"/>
        </w:rPr>
        <w:t xml:space="preserve">, </w:t>
      </w:r>
      <w:r>
        <w:rPr>
          <w:rFonts w:eastAsia="Times New Roman" w:cs="Times New Roman"/>
          <w:i/>
          <w:iCs/>
          <w:szCs w:val="24"/>
        </w:rPr>
        <w:t>11</w:t>
      </w:r>
      <w:r>
        <w:rPr>
          <w:rFonts w:eastAsia="Times New Roman" w:cs="Times New Roman"/>
          <w:szCs w:val="24"/>
        </w:rPr>
        <w:t>(2), 501.</w:t>
      </w:r>
    </w:p>
    <w:p w:rsidR="006D18EA" w:rsidRDefault="006D18EA" w:rsidP="006D18EA">
      <w:pPr>
        <w:spacing w:after="0"/>
        <w:ind w:left="720" w:hanging="720"/>
        <w:rPr>
          <w:rFonts w:eastAsia="Times New Roman" w:cs="Times New Roman"/>
          <w:szCs w:val="24"/>
        </w:rPr>
      </w:pPr>
      <w:r>
        <w:rPr>
          <w:rFonts w:eastAsia="Times New Roman" w:cs="Times New Roman"/>
          <w:szCs w:val="24"/>
        </w:rPr>
        <w:t>Long, B. T. (2014). Addressing the academic barriers to higher education.</w:t>
      </w:r>
    </w:p>
    <w:p w:rsidR="006D18EA" w:rsidRDefault="006D18EA" w:rsidP="006D18EA"/>
    <w:p w:rsidR="006D18EA" w:rsidRDefault="006D18EA" w:rsidP="00EC4D22">
      <w:pPr>
        <w:jc w:val="center"/>
      </w:pPr>
    </w:p>
    <w:p w:rsidR="00EC4D22" w:rsidRPr="00EC4D22" w:rsidRDefault="00EC4D22" w:rsidP="00EC4D22"/>
    <w:sectPr w:rsidR="00EC4D22" w:rsidRPr="00EC4D22" w:rsidSect="00EC4D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0F7" w:rsidRDefault="007E20F7" w:rsidP="00EC4D22">
      <w:pPr>
        <w:spacing w:after="0" w:line="240" w:lineRule="auto"/>
      </w:pPr>
      <w:r>
        <w:separator/>
      </w:r>
    </w:p>
  </w:endnote>
  <w:endnote w:type="continuationSeparator" w:id="0">
    <w:p w:rsidR="007E20F7" w:rsidRDefault="007E20F7" w:rsidP="00EC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0F7" w:rsidRDefault="007E20F7" w:rsidP="00EC4D22">
      <w:pPr>
        <w:spacing w:after="0" w:line="240" w:lineRule="auto"/>
      </w:pPr>
      <w:r>
        <w:separator/>
      </w:r>
    </w:p>
  </w:footnote>
  <w:footnote w:type="continuationSeparator" w:id="0">
    <w:p w:rsidR="007E20F7" w:rsidRDefault="007E20F7" w:rsidP="00EC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794188"/>
      <w:docPartObj>
        <w:docPartGallery w:val="Page Numbers (Top of Page)"/>
        <w:docPartUnique/>
      </w:docPartObj>
    </w:sdtPr>
    <w:sdtEndPr/>
    <w:sdtContent>
      <w:p w:rsidR="00EC4D22" w:rsidRDefault="00EC4D22">
        <w:pPr>
          <w:pStyle w:val="Header"/>
          <w:jc w:val="right"/>
        </w:pPr>
        <w:r>
          <w:t>BARRIERS IN HIGHER EDUCATION</w:t>
        </w:r>
        <w:r>
          <w:tab/>
        </w:r>
        <w:r>
          <w:tab/>
        </w:r>
        <w:r w:rsidR="007E20F7">
          <w:fldChar w:fldCharType="begin"/>
        </w:r>
        <w:r w:rsidR="007E20F7">
          <w:instrText xml:space="preserve"> PAGE   \* MERGEFORMAT </w:instrText>
        </w:r>
        <w:r w:rsidR="007E20F7">
          <w:fldChar w:fldCharType="separate"/>
        </w:r>
        <w:r w:rsidR="00084D83">
          <w:rPr>
            <w:noProof/>
          </w:rPr>
          <w:t>2</w:t>
        </w:r>
        <w:r w:rsidR="007E20F7">
          <w:rPr>
            <w:noProof/>
          </w:rPr>
          <w:fldChar w:fldCharType="end"/>
        </w:r>
      </w:p>
    </w:sdtContent>
  </w:sdt>
  <w:p w:rsidR="00EC4D22" w:rsidRDefault="00EC4D2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D22" w:rsidRDefault="00EC4D22">
    <w:pPr>
      <w:pStyle w:val="Header"/>
    </w:pPr>
    <w:r>
      <w:t>Running Head: BARRIERS IN HIGHER EDUCATION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63F"/>
    <w:rsid w:val="00020797"/>
    <w:rsid w:val="00084D83"/>
    <w:rsid w:val="00122BD1"/>
    <w:rsid w:val="00277E58"/>
    <w:rsid w:val="002D25C0"/>
    <w:rsid w:val="003C33B7"/>
    <w:rsid w:val="0042190B"/>
    <w:rsid w:val="006D18EA"/>
    <w:rsid w:val="0071663F"/>
    <w:rsid w:val="007E20F7"/>
    <w:rsid w:val="00841178"/>
    <w:rsid w:val="008F0E96"/>
    <w:rsid w:val="00AB6F24"/>
    <w:rsid w:val="00E638A8"/>
    <w:rsid w:val="00EA13D9"/>
    <w:rsid w:val="00EC4D22"/>
    <w:rsid w:val="00F43DA9"/>
    <w:rsid w:val="00F830B9"/>
    <w:rsid w:val="00FB2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908BE2-E4F2-429F-BB75-9946BD88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D22"/>
    <w:rPr>
      <w:rFonts w:ascii="Times New Roman" w:hAnsi="Times New Roman"/>
      <w:sz w:val="24"/>
    </w:rPr>
  </w:style>
  <w:style w:type="paragraph" w:styleId="Footer">
    <w:name w:val="footer"/>
    <w:basedOn w:val="Normal"/>
    <w:link w:val="FooterChar"/>
    <w:uiPriority w:val="99"/>
    <w:semiHidden/>
    <w:unhideWhenUsed/>
    <w:rsid w:val="00EC4D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D2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323018">
      <w:bodyDiv w:val="1"/>
      <w:marLeft w:val="0"/>
      <w:marRight w:val="0"/>
      <w:marTop w:val="0"/>
      <w:marBottom w:val="0"/>
      <w:divBdr>
        <w:top w:val="none" w:sz="0" w:space="0" w:color="auto"/>
        <w:left w:val="none" w:sz="0" w:space="0" w:color="auto"/>
        <w:bottom w:val="none" w:sz="0" w:space="0" w:color="auto"/>
        <w:right w:val="none" w:sz="0" w:space="0" w:color="auto"/>
      </w:divBdr>
    </w:div>
    <w:div w:id="68447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2020-03-13T17:24:00Z</dcterms:created>
  <dcterms:modified xsi:type="dcterms:W3CDTF">2020-03-13T17:24:00Z</dcterms:modified>
</cp:coreProperties>
</file>